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Pr="00766529" w:rsidRDefault="00766529" w:rsidP="00A32FB1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</w:p>
          <w:p w:rsidR="00044AC9" w:rsidRPr="00561BCA" w:rsidRDefault="009F530A" w:rsidP="00561B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97300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="00BB378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47460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</w:t>
            </w:r>
            <w:r w:rsidR="005A7DFC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A7DFC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561BCA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0A5177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 w:rsidR="00496A74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</w:p>
          <w:p w:rsidR="00117F48" w:rsidRPr="00117F48" w:rsidRDefault="009F530A" w:rsidP="009F530A">
            <w:pPr>
              <w:ind w:firstLineChars="500" w:firstLine="15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         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9F530A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5A7DFC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D86FF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C7A32" w:rsidRPr="00835C93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7F49AA" w:rsidRPr="007F49AA">
              <w:rPr>
                <w:rFonts w:ascii="Arial" w:hAnsi="Arial" w:cs="Arial"/>
                <w:sz w:val="28"/>
                <w:szCs w:val="28"/>
                <w:u w:val="single"/>
              </w:rPr>
              <w:t>DRC-K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94</w:t>
            </w:r>
            <w:r w:rsidR="00E35D6A">
              <w:rPr>
                <w:rFonts w:ascii="Arial" w:hAnsi="Arial" w:cs="Arial" w:hint="eastAsia"/>
                <w:sz w:val="28"/>
                <w:szCs w:val="28"/>
                <w:u w:val="single"/>
              </w:rPr>
              <w:t>9</w:t>
            </w:r>
            <w:r w:rsidR="00D86FF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D86FF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117F48" w:rsidRPr="009F530A" w:rsidRDefault="009F530A" w:rsidP="009F530A">
            <w:pPr>
              <w:ind w:firstLineChars="500" w:firstLine="150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8F0854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φ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>球头红光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6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0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/1</w:t>
            </w:r>
            <w:r w:rsidR="00E35D6A">
              <w:rPr>
                <w:rFonts w:ascii="Arial" w:hAnsi="Arial" w:cs="Arial" w:hint="eastAsia"/>
                <w:sz w:val="28"/>
                <w:szCs w:val="28"/>
                <w:u w:val="single"/>
              </w:rPr>
              <w:t>4</w:t>
            </w:r>
            <w:r w:rsidR="00FC0E23">
              <w:rPr>
                <w:rFonts w:ascii="Arial" w:hAnsi="Arial" w:cs="Arial" w:hint="eastAsia"/>
                <w:sz w:val="28"/>
                <w:szCs w:val="28"/>
                <w:u w:val="single"/>
              </w:rPr>
              <w:t>mil</w:t>
            </w:r>
            <w:r w:rsidR="000A5177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0A5177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度</w:t>
            </w:r>
          </w:p>
          <w:p w:rsidR="00044AC9" w:rsidRPr="00117F48" w:rsidRDefault="009F530A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5A7DFC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56594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FC0E2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10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FC0E2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30</w:t>
            </w:r>
            <w:r w:rsidR="0076652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96A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0A5177">
              <w:trPr>
                <w:trHeight w:hRule="exact" w:val="578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350" w:firstLine="984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AF0AE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4812CE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496A7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0A5177">
              <w:trPr>
                <w:trHeight w:hRule="exact" w:val="56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400" w:firstLine="960"/>
                    <w:rPr>
                      <w:kern w:val="0"/>
                      <w:sz w:val="24"/>
                    </w:rPr>
                  </w:pPr>
                  <w:r w:rsidRPr="00C305B9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  </w:t>
                  </w:r>
                  <w:r w:rsid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AF0AE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56594E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957854" w:rsidRDefault="003F0A56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D60D8" w:rsidRPr="00A529E1" w:rsidRDefault="00FD60D8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332" w:type="dxa"/>
              <w:tblLook w:val="0000"/>
            </w:tblPr>
            <w:tblGrid>
              <w:gridCol w:w="4752"/>
              <w:gridCol w:w="5580"/>
            </w:tblGrid>
            <w:tr w:rsidR="00FB6002" w:rsidRPr="00A529E1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A529E1" w:rsidRDefault="00E340F4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A529E1" w:rsidRDefault="00274E89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</w:t>
                  </w:r>
                  <w:r w:rsidR="00DD75F7"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范围</w:t>
                  </w:r>
                </w:p>
              </w:tc>
            </w:tr>
            <w:tr w:rsidR="00FB6002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E340F4"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610D9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不同场合的阅读灯（汽车、巴士、飞机）</w:t>
                  </w:r>
                </w:p>
              </w:tc>
            </w:tr>
            <w:tr w:rsidR="00FB6002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354148"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</w:t>
                  </w:r>
                  <w:r w:rsidR="00E340F4"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高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610D9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LCD</w:t>
                  </w:r>
                  <w:r w:rsidR="00610D9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背光灯、指引灯</w:t>
                  </w:r>
                </w:p>
              </w:tc>
            </w:tr>
            <w:tr w:rsidR="00FB6002" w:rsidRPr="00FB6002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54148" w:rsidRPr="0099654A" w:rsidRDefault="00FB6002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354148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颜色种类丰富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C1B4D" w:rsidRPr="0099654A" w:rsidRDefault="004812CE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45379E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娱乐、装饰、</w:t>
                  </w:r>
                  <w:r w:rsidR="0045379E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LED</w:t>
                  </w:r>
                  <w:r w:rsidR="0045379E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光导纤维</w:t>
                  </w:r>
                </w:p>
              </w:tc>
            </w:tr>
            <w:tr w:rsidR="00FB6002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E340F4"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朗伯辐射模式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002" w:rsidRPr="0099654A" w:rsidRDefault="00FB6002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="00610D9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补强照明、方向照明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室内室外、商业居民、建筑照明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凹槽、架子底、桌面照明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冷光束，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以触摸安全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系船柱、安全、园林照明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便携式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（手电筒，自行车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）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出口标志，销售点标志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汽车灯（停止尾转，高位刹车灯，镜边重复）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交通信号灯、路灯，铁路指示和路口指示</w:t>
                  </w: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10D90" w:rsidRPr="00FB6002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0D90" w:rsidRPr="0099654A" w:rsidRDefault="00610D90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784205" w:rsidRPr="00BB3786" w:rsidRDefault="00784205" w:rsidP="000C7A32">
            <w:pPr>
              <w:autoSpaceDE w:val="0"/>
              <w:autoSpaceDN w:val="0"/>
              <w:adjustRightInd w:val="0"/>
              <w:snapToGrid w:val="0"/>
              <w:ind w:leftChars="-51" w:left="-107" w:firstLineChars="1250" w:firstLine="2625"/>
              <w:jc w:val="left"/>
              <w:rPr>
                <w:noProof/>
              </w:rPr>
            </w:pPr>
          </w:p>
          <w:p w:rsidR="00784205" w:rsidRDefault="00496A74" w:rsidP="00496A74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 w:rsidR="00EE39BB" w:rsidRPr="00044AC9" w:rsidRDefault="00FC0E23" w:rsidP="00FC0E23">
            <w:pPr>
              <w:autoSpaceDE w:val="0"/>
              <w:autoSpaceDN w:val="0"/>
              <w:adjustRightInd w:val="0"/>
              <w:snapToGrid w:val="0"/>
              <w:ind w:firstLineChars="1050" w:firstLine="2205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217540" r:id="rId9"/>
              </w:objec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257F6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FC0E23" w:rsidP="00D6041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F0AEF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547B4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.4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49730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  <w:t>μA</w:t>
                  </w:r>
                  <w:proofErr w:type="spellEnd"/>
                </w:p>
              </w:tc>
            </w:tr>
            <w:tr w:rsidR="00B772A4" w:rsidRPr="00B772A4" w:rsidTr="00A271BB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257F6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FC0E2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6</w:t>
                  </w:r>
                  <w:r w:rsidR="005F6E8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deg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FC0E23" w:rsidP="00117678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</w:t>
                  </w:r>
                  <w:r w:rsidR="00117678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D6041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I</w:t>
                  </w:r>
                  <w:r w:rsidR="00BB378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257F6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117678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117678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117678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cd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9730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  <w:r w:rsidR="00BB3786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257F65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BB3786"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  <w:proofErr w:type="spellEnd"/>
                </w:p>
              </w:tc>
            </w:tr>
            <w:tr w:rsidR="000C7A32" w:rsidRPr="00B772A4" w:rsidTr="00025BFC">
              <w:trPr>
                <w:trHeight w:val="51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BFC" w:rsidRPr="00B772A4" w:rsidRDefault="00257F65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554D7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99654A" w:rsidRDefault="00025BFC" w:rsidP="00257F65">
                  <w:pPr>
                    <w:autoSpaceDE w:val="0"/>
                    <w:autoSpaceDN w:val="0"/>
                    <w:adjustRightInd w:val="0"/>
                    <w:ind w:firstLineChars="150" w:firstLine="315"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CourierNewPSMT" w:eastAsia="CourierNewPSMT" w:cs="CourierNewPSMT" w:hint="eastAsia"/>
                      <w:kern w:val="0"/>
                      <w:szCs w:val="21"/>
                    </w:rPr>
                    <w:t>λ</w:t>
                  </w:r>
                  <w:r w:rsidR="00257F65">
                    <w:rPr>
                      <w:rFonts w:ascii="Arial" w:hAnsi="Arial" w:cs="Arial" w:hint="eastAsia"/>
                      <w:kern w:val="0"/>
                      <w:sz w:val="24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7A32" w:rsidRPr="0099654A" w:rsidRDefault="000C7A32" w:rsidP="00D6041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352FB3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352FB3" w:rsidP="00E425E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660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352FB3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025BFC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B87BAD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257F6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FC0E2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FC0E23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257F6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257F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497300" w:rsidRPr="00497300" w:rsidRDefault="00497300" w:rsidP="004973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497300" w:rsidRPr="00CB21EA" w:rsidRDefault="00497300" w:rsidP="00497300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色温的测量公差为</w:t>
            </w:r>
            <w:r w:rsidRPr="00497300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20K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光通量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Pr="0099654A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  <w:proofErr w:type="spellEnd"/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FC0E2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="00E20725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DF7F5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  <w:proofErr w:type="spellEnd"/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497300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*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焊接位置离管体≥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2mm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，时间≤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3S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DA" w:rsidRDefault="00437FDA" w:rsidP="00F13C04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色度</w:t>
            </w:r>
            <w:r w:rsidR="00C3351E">
              <w:rPr>
                <w:rFonts w:hint="eastAsia"/>
                <w:sz w:val="30"/>
                <w:szCs w:val="30"/>
              </w:rPr>
              <w:t>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437FDA" w:rsidRDefault="004C1AB2" w:rsidP="004C1AB2">
            <w:pPr>
              <w:ind w:firstLineChars="300" w:firstLine="900"/>
              <w:rPr>
                <w:sz w:val="30"/>
                <w:szCs w:val="30"/>
              </w:rPr>
            </w:pPr>
            <w:r w:rsidRPr="004C1AB2">
              <w:rPr>
                <w:noProof/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5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37FDA" w:rsidRDefault="00437FDA" w:rsidP="00437FDA">
            <w:pPr>
              <w:ind w:firstLineChars="300" w:firstLine="900"/>
              <w:rPr>
                <w:sz w:val="30"/>
                <w:szCs w:val="30"/>
              </w:rPr>
            </w:pPr>
          </w:p>
          <w:p w:rsidR="00566DD5" w:rsidRPr="00766529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C3351E"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B92E28" w:rsidP="00B92E28">
            <w:pPr>
              <w:ind w:firstLineChars="400" w:firstLine="1200"/>
              <w:rPr>
                <w:sz w:val="30"/>
                <w:szCs w:val="30"/>
              </w:rPr>
            </w:pPr>
            <w:r w:rsidRPr="00B92E28"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B92E28" w:rsidP="00566DD5">
            <w:pPr>
              <w:jc w:val="center"/>
              <w:rPr>
                <w:noProof/>
              </w:rPr>
            </w:pPr>
            <w:r w:rsidRPr="00B92E28">
              <w:rPr>
                <w:noProof/>
              </w:rPr>
              <w:drawing>
                <wp:inline distT="0" distB="0" distL="0" distR="0">
                  <wp:extent cx="4943475" cy="26479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9F530A" w:rsidRDefault="00303B3C" w:rsidP="00566DD5">
            <w:pPr>
              <w:jc w:val="center"/>
              <w:rPr>
                <w:noProof/>
              </w:rPr>
            </w:pPr>
            <w:r w:rsidRPr="00303B3C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9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138430</wp:posOffset>
                  </wp:positionV>
                  <wp:extent cx="3657600" cy="2361565"/>
                  <wp:effectExtent l="1905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561BCA" w:rsidRDefault="00561BCA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496A74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117F48" w:rsidRDefault="00BB663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  <w:r w:rsidRPr="00BB6633">
              <w:rPr>
                <w:rFonts w:ascii="Arial BoldMT" w:hAnsi="Arial BoldMT" w:cs="Arial BoldMT" w:hint="eastAsia"/>
                <w:noProof/>
                <w:color w:val="000000"/>
                <w:kern w:val="0"/>
                <w:sz w:val="19"/>
                <w:szCs w:val="19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-102235</wp:posOffset>
                  </wp:positionV>
                  <wp:extent cx="5276850" cy="4857750"/>
                  <wp:effectExtent l="19050" t="0" r="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485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Pr="0099654A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  <w:r w:rsidR="009F530A">
              <w:rPr>
                <w:rFonts w:ascii="Arial" w:hAnsi="Arial" w:cs="Arial" w:hint="eastAsia"/>
                <w:color w:val="000000"/>
                <w:kern w:val="0"/>
                <w:sz w:val="24"/>
              </w:rPr>
              <w:t>。</w:t>
            </w:r>
          </w:p>
          <w:p w:rsidR="006013DC" w:rsidRDefault="00EC6E8F" w:rsidP="00F21DC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Arial" w:hAnsi="Arial" w:cs="Arial"/>
                <w:color w:val="000000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="00766529">
              <w:rPr>
                <w:rFonts w:cs="Arial" w:hint="eastAsia"/>
                <w:color w:val="000000"/>
              </w:rPr>
              <w:t>、引脚的尺寸公差为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r w:rsidR="00A271BB">
              <w:rPr>
                <w:rFonts w:ascii="Arial" w:hAnsi="Arial" w:cs="Arial" w:hint="eastAsia"/>
                <w:color w:val="000000"/>
              </w:rPr>
              <w:t>0.5</w:t>
            </w:r>
            <w:r w:rsidR="00766529">
              <w:rPr>
                <w:rFonts w:ascii="Arial" w:hAnsi="Arial" w:cs="Arial"/>
                <w:color w:val="000000"/>
              </w:rPr>
              <w:t>mm</w:t>
            </w:r>
            <w:r w:rsidR="00766529">
              <w:rPr>
                <w:rFonts w:cs="Arial" w:hint="eastAsia"/>
                <w:color w:val="000000"/>
              </w:rPr>
              <w:t>，胶体宽度公差为±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5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0.05mm</w:t>
              </w:r>
            </w:smartTag>
            <w:r w:rsidR="00766529">
              <w:rPr>
                <w:rFonts w:cs="Arial" w:hint="eastAsia"/>
                <w:color w:val="000000"/>
              </w:rPr>
              <w:t>，其余的尺寸公差为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2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0.2mm</w:t>
              </w:r>
            </w:smartTag>
            <w:r w:rsidR="00766529">
              <w:rPr>
                <w:rFonts w:cs="Arial" w:hint="eastAsia"/>
                <w:color w:val="000000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497300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C" w:rsidRPr="0099654A" w:rsidRDefault="00025BFC" w:rsidP="00025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025BFC" w:rsidRPr="009B41B7" w:rsidRDefault="00025BFC" w:rsidP="00BB66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025BFC" w:rsidTr="00964F8D">
              <w:trPr>
                <w:trHeight w:val="49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025BFC" w:rsidTr="00964F8D">
              <w:trPr>
                <w:trHeight w:val="43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025BFC" w:rsidRDefault="00025BFC" w:rsidP="00BB6633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025BFC" w:rsidTr="00964F8D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025BFC" w:rsidTr="00964F8D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BB663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497300" w:rsidRDefault="00576480" w:rsidP="00025BFC">
            <w:pPr>
              <w:autoSpaceDE w:val="0"/>
              <w:autoSpaceDN w:val="0"/>
              <w:adjustRightInd w:val="0"/>
              <w:snapToGrid w:val="0"/>
              <w:ind w:left="315" w:hangingChars="150" w:hanging="315"/>
              <w:jc w:val="left"/>
              <w:rPr>
                <w:sz w:val="30"/>
                <w:szCs w:val="30"/>
              </w:rPr>
            </w:pPr>
            <w:r w:rsidRPr="00576480">
              <w:rPr>
                <w:noProof/>
              </w:rPr>
              <w:pict>
                <v:shape id="_x0000_s1058" type="#_x0000_t75" style="position:absolute;left:0;text-align:left;margin-left:12.6pt;margin-top:56.65pt;width:495pt;height:151.9pt;z-index:251673600;mso-position-horizontal-relative:text;mso-position-vertical-relative:text">
                  <v:imagedata r:id="rId17" o:title=""/>
                </v:shape>
                <o:OLEObject Type="Embed" ProgID="PBrush" ShapeID="_x0000_s1058" DrawAspect="Content" ObjectID="_1604217541" r:id="rId18"/>
              </w:pict>
            </w:r>
            <w:r w:rsidR="00025BFC">
              <w:rPr>
                <w:rFonts w:hint="eastAsia"/>
                <w:sz w:val="30"/>
                <w:szCs w:val="30"/>
              </w:rPr>
              <w:t xml:space="preserve">    </w:t>
            </w:r>
            <w:r w:rsidR="00025BFC" w:rsidRPr="00486404">
              <w:rPr>
                <w:rFonts w:hint="eastAsia"/>
              </w:rPr>
              <w:t>7</w:t>
            </w:r>
            <w:r w:rsidR="00025BFC" w:rsidRPr="00486404">
              <w:rPr>
                <w:rFonts w:hint="eastAsia"/>
              </w:rPr>
              <w:t>、通过使用适当的工具从材料侧面夹取，不可直接用手或尖锐金属压胶体表面，它可能会损坏内部电路。</w:t>
            </w: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Pr="00654613" w:rsidRDefault="00497300" w:rsidP="003C074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8C" w:rsidRDefault="004B3E8C">
      <w:r>
        <w:separator/>
      </w:r>
    </w:p>
  </w:endnote>
  <w:endnote w:type="continuationSeparator" w:id="0">
    <w:p w:rsidR="004B3E8C" w:rsidRDefault="004B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1" w:rsidRPr="006E01E1" w:rsidRDefault="00474601" w:rsidP="0047460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338</w:t>
    </w:r>
    <w:r>
      <w:rPr>
        <w:rFonts w:ascii="Arial" w:hAnsi="Arial" w:cs="Arial" w:hint="eastAsia"/>
        <w:color w:val="000000"/>
        <w:kern w:val="0"/>
        <w:sz w:val="25"/>
        <w:szCs w:val="25"/>
      </w:rPr>
      <w:t>80094</w:t>
    </w:r>
  </w:p>
  <w:p w:rsidR="00CB0B68" w:rsidRPr="006E01E1" w:rsidRDefault="00474601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</w:t>
    </w:r>
    <w:r w:rsidRPr="006E01E1">
      <w:rPr>
        <w:rFonts w:ascii="Arial" w:hAnsi="Arial" w:cs="Arial"/>
        <w:color w:val="000000"/>
        <w:kern w:val="0"/>
        <w:sz w:val="25"/>
        <w:szCs w:val="25"/>
      </w:rPr>
      <w:t>:+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  <w:r w:rsidR="00CB0B68">
      <w:rPr>
        <w:rFonts w:ascii="Arial" w:hAnsi="Arial" w:cs="Arial" w:hint="eastAsia"/>
        <w:color w:val="000000"/>
        <w:kern w:val="0"/>
        <w:sz w:val="25"/>
        <w:szCs w:val="25"/>
      </w:rPr>
      <w:t xml:space="preserve">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576480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576480" w:rsidRPr="00717E3A">
      <w:rPr>
        <w:rStyle w:val="a7"/>
        <w:sz w:val="30"/>
        <w:szCs w:val="30"/>
      </w:rPr>
      <w:fldChar w:fldCharType="separate"/>
    </w:r>
    <w:r w:rsidR="00BB6633">
      <w:rPr>
        <w:rStyle w:val="a7"/>
        <w:noProof/>
        <w:sz w:val="30"/>
        <w:szCs w:val="30"/>
      </w:rPr>
      <w:t>7</w:t>
    </w:r>
    <w:r w:rsidR="00576480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576480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576480" w:rsidRPr="00717E3A">
      <w:rPr>
        <w:rStyle w:val="a7"/>
        <w:sz w:val="30"/>
        <w:szCs w:val="30"/>
      </w:rPr>
      <w:fldChar w:fldCharType="separate"/>
    </w:r>
    <w:r w:rsidR="00BB6633">
      <w:rPr>
        <w:rStyle w:val="a7"/>
        <w:noProof/>
        <w:sz w:val="30"/>
        <w:szCs w:val="30"/>
      </w:rPr>
      <w:t>8</w:t>
    </w:r>
    <w:r w:rsidR="00576480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8C" w:rsidRDefault="004B3E8C">
      <w:r>
        <w:separator/>
      </w:r>
    </w:p>
  </w:footnote>
  <w:footnote w:type="continuationSeparator" w:id="0">
    <w:p w:rsidR="004B3E8C" w:rsidRDefault="004B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F0A5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91E"/>
    <w:multiLevelType w:val="hybridMultilevel"/>
    <w:tmpl w:val="C92C15B0"/>
    <w:lvl w:ilvl="0" w:tplc="6F7C562E">
      <w:start w:val="1"/>
      <w:numFmt w:val="decimal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2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5BFC"/>
    <w:rsid w:val="00027C5E"/>
    <w:rsid w:val="00032D39"/>
    <w:rsid w:val="00035C31"/>
    <w:rsid w:val="00036DB4"/>
    <w:rsid w:val="00044495"/>
    <w:rsid w:val="00044AC9"/>
    <w:rsid w:val="00047B0F"/>
    <w:rsid w:val="0005741E"/>
    <w:rsid w:val="00064FD8"/>
    <w:rsid w:val="00086447"/>
    <w:rsid w:val="000872B5"/>
    <w:rsid w:val="00091540"/>
    <w:rsid w:val="00096867"/>
    <w:rsid w:val="000A5177"/>
    <w:rsid w:val="000A73F4"/>
    <w:rsid w:val="000C1E50"/>
    <w:rsid w:val="000C7A32"/>
    <w:rsid w:val="000D6F7D"/>
    <w:rsid w:val="000F030F"/>
    <w:rsid w:val="000F06C6"/>
    <w:rsid w:val="00107D89"/>
    <w:rsid w:val="00112096"/>
    <w:rsid w:val="0011222C"/>
    <w:rsid w:val="00117678"/>
    <w:rsid w:val="00117F48"/>
    <w:rsid w:val="0012731D"/>
    <w:rsid w:val="00130C10"/>
    <w:rsid w:val="00132C60"/>
    <w:rsid w:val="00134201"/>
    <w:rsid w:val="00142BC7"/>
    <w:rsid w:val="001434DE"/>
    <w:rsid w:val="00150FEF"/>
    <w:rsid w:val="00162CAE"/>
    <w:rsid w:val="00164050"/>
    <w:rsid w:val="00171A10"/>
    <w:rsid w:val="00171C3E"/>
    <w:rsid w:val="0017372F"/>
    <w:rsid w:val="00175448"/>
    <w:rsid w:val="00185A6F"/>
    <w:rsid w:val="001922F2"/>
    <w:rsid w:val="001A2823"/>
    <w:rsid w:val="001A5592"/>
    <w:rsid w:val="001B3367"/>
    <w:rsid w:val="001C1E87"/>
    <w:rsid w:val="001C279B"/>
    <w:rsid w:val="001C3E24"/>
    <w:rsid w:val="001C44C3"/>
    <w:rsid w:val="001E03A2"/>
    <w:rsid w:val="001E7B56"/>
    <w:rsid w:val="00203A41"/>
    <w:rsid w:val="002376DE"/>
    <w:rsid w:val="00242FFA"/>
    <w:rsid w:val="0024720D"/>
    <w:rsid w:val="0024751A"/>
    <w:rsid w:val="00257F65"/>
    <w:rsid w:val="00264460"/>
    <w:rsid w:val="00271550"/>
    <w:rsid w:val="00274E89"/>
    <w:rsid w:val="00276597"/>
    <w:rsid w:val="00283179"/>
    <w:rsid w:val="002A74BD"/>
    <w:rsid w:val="002C1B4D"/>
    <w:rsid w:val="002E0719"/>
    <w:rsid w:val="002E0EC3"/>
    <w:rsid w:val="002E5600"/>
    <w:rsid w:val="002F0DC9"/>
    <w:rsid w:val="002F3845"/>
    <w:rsid w:val="002F5C76"/>
    <w:rsid w:val="00303B3C"/>
    <w:rsid w:val="00307A55"/>
    <w:rsid w:val="003123E4"/>
    <w:rsid w:val="00316559"/>
    <w:rsid w:val="003176F8"/>
    <w:rsid w:val="003204D2"/>
    <w:rsid w:val="003207A3"/>
    <w:rsid w:val="00324E2B"/>
    <w:rsid w:val="00326E03"/>
    <w:rsid w:val="00334AE6"/>
    <w:rsid w:val="00344127"/>
    <w:rsid w:val="003520DD"/>
    <w:rsid w:val="00352FB3"/>
    <w:rsid w:val="00354148"/>
    <w:rsid w:val="003917E9"/>
    <w:rsid w:val="00394E1B"/>
    <w:rsid w:val="003A025F"/>
    <w:rsid w:val="003A6006"/>
    <w:rsid w:val="003C074F"/>
    <w:rsid w:val="003C49A0"/>
    <w:rsid w:val="003D57EB"/>
    <w:rsid w:val="003E1C0E"/>
    <w:rsid w:val="003F0A56"/>
    <w:rsid w:val="003F4D22"/>
    <w:rsid w:val="004064CF"/>
    <w:rsid w:val="0041253D"/>
    <w:rsid w:val="004236B2"/>
    <w:rsid w:val="00423FEA"/>
    <w:rsid w:val="0042531C"/>
    <w:rsid w:val="00426727"/>
    <w:rsid w:val="00431811"/>
    <w:rsid w:val="00434894"/>
    <w:rsid w:val="00437FDA"/>
    <w:rsid w:val="00443F95"/>
    <w:rsid w:val="00445365"/>
    <w:rsid w:val="00445BAE"/>
    <w:rsid w:val="0045379E"/>
    <w:rsid w:val="00456C11"/>
    <w:rsid w:val="0045703C"/>
    <w:rsid w:val="00472048"/>
    <w:rsid w:val="004728F4"/>
    <w:rsid w:val="00474601"/>
    <w:rsid w:val="004754FB"/>
    <w:rsid w:val="004808AD"/>
    <w:rsid w:val="004812CE"/>
    <w:rsid w:val="00491117"/>
    <w:rsid w:val="00496A74"/>
    <w:rsid w:val="00497300"/>
    <w:rsid w:val="004A1C9D"/>
    <w:rsid w:val="004A3FFC"/>
    <w:rsid w:val="004B3E8C"/>
    <w:rsid w:val="004B468D"/>
    <w:rsid w:val="004C1AB2"/>
    <w:rsid w:val="004C60F3"/>
    <w:rsid w:val="004C78B1"/>
    <w:rsid w:val="004D0749"/>
    <w:rsid w:val="004D3E8C"/>
    <w:rsid w:val="004D7903"/>
    <w:rsid w:val="004F6639"/>
    <w:rsid w:val="004F7457"/>
    <w:rsid w:val="00511E1F"/>
    <w:rsid w:val="00520326"/>
    <w:rsid w:val="00520F26"/>
    <w:rsid w:val="00520F6F"/>
    <w:rsid w:val="00525160"/>
    <w:rsid w:val="00530DB8"/>
    <w:rsid w:val="00532091"/>
    <w:rsid w:val="00537CDB"/>
    <w:rsid w:val="00547B43"/>
    <w:rsid w:val="00554D73"/>
    <w:rsid w:val="005553B8"/>
    <w:rsid w:val="00561BCA"/>
    <w:rsid w:val="005642C5"/>
    <w:rsid w:val="0056594E"/>
    <w:rsid w:val="00566DD5"/>
    <w:rsid w:val="00572D01"/>
    <w:rsid w:val="00574380"/>
    <w:rsid w:val="00574B5F"/>
    <w:rsid w:val="00575710"/>
    <w:rsid w:val="00576480"/>
    <w:rsid w:val="00576B9F"/>
    <w:rsid w:val="005A186A"/>
    <w:rsid w:val="005A6CC6"/>
    <w:rsid w:val="005A7DFC"/>
    <w:rsid w:val="005B67AA"/>
    <w:rsid w:val="005B6D9E"/>
    <w:rsid w:val="005C0685"/>
    <w:rsid w:val="005C5D7B"/>
    <w:rsid w:val="005C6B96"/>
    <w:rsid w:val="005D2F7B"/>
    <w:rsid w:val="005D7238"/>
    <w:rsid w:val="005F0725"/>
    <w:rsid w:val="005F6E8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35B7F"/>
    <w:rsid w:val="00636861"/>
    <w:rsid w:val="00644D0C"/>
    <w:rsid w:val="00647BF8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073"/>
    <w:rsid w:val="0069526A"/>
    <w:rsid w:val="00696F1C"/>
    <w:rsid w:val="006B5944"/>
    <w:rsid w:val="006C1CB2"/>
    <w:rsid w:val="006C2713"/>
    <w:rsid w:val="006C3FE7"/>
    <w:rsid w:val="006C7F51"/>
    <w:rsid w:val="006D7CD9"/>
    <w:rsid w:val="006E01E1"/>
    <w:rsid w:val="006E3508"/>
    <w:rsid w:val="006E6859"/>
    <w:rsid w:val="006F1C84"/>
    <w:rsid w:val="00717E3A"/>
    <w:rsid w:val="00732A64"/>
    <w:rsid w:val="0073562F"/>
    <w:rsid w:val="007356DE"/>
    <w:rsid w:val="007369F9"/>
    <w:rsid w:val="00737B4F"/>
    <w:rsid w:val="00742919"/>
    <w:rsid w:val="007457EF"/>
    <w:rsid w:val="00746665"/>
    <w:rsid w:val="00754F71"/>
    <w:rsid w:val="00757C37"/>
    <w:rsid w:val="007655BE"/>
    <w:rsid w:val="007659A2"/>
    <w:rsid w:val="00766529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A2330"/>
    <w:rsid w:val="007A2EB9"/>
    <w:rsid w:val="007C0575"/>
    <w:rsid w:val="007C4740"/>
    <w:rsid w:val="007D323C"/>
    <w:rsid w:val="007F49AA"/>
    <w:rsid w:val="008178E3"/>
    <w:rsid w:val="00835369"/>
    <w:rsid w:val="0086184F"/>
    <w:rsid w:val="008620D4"/>
    <w:rsid w:val="00865CBE"/>
    <w:rsid w:val="00865D59"/>
    <w:rsid w:val="00872C07"/>
    <w:rsid w:val="00886039"/>
    <w:rsid w:val="008924C7"/>
    <w:rsid w:val="008A00F2"/>
    <w:rsid w:val="008C0127"/>
    <w:rsid w:val="008C1017"/>
    <w:rsid w:val="008C3BEE"/>
    <w:rsid w:val="008C71FC"/>
    <w:rsid w:val="008E2199"/>
    <w:rsid w:val="008E35BE"/>
    <w:rsid w:val="008F0854"/>
    <w:rsid w:val="008F311B"/>
    <w:rsid w:val="00903F64"/>
    <w:rsid w:val="00907CEF"/>
    <w:rsid w:val="00911E9D"/>
    <w:rsid w:val="00920589"/>
    <w:rsid w:val="00953AE2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318E"/>
    <w:rsid w:val="009A55E9"/>
    <w:rsid w:val="009A5F8E"/>
    <w:rsid w:val="009B08FF"/>
    <w:rsid w:val="009F530A"/>
    <w:rsid w:val="00A14EEB"/>
    <w:rsid w:val="00A271BB"/>
    <w:rsid w:val="00A30084"/>
    <w:rsid w:val="00A32FB1"/>
    <w:rsid w:val="00A43BF0"/>
    <w:rsid w:val="00A45C2C"/>
    <w:rsid w:val="00A529E1"/>
    <w:rsid w:val="00A56E80"/>
    <w:rsid w:val="00A62F42"/>
    <w:rsid w:val="00A70174"/>
    <w:rsid w:val="00A71FE7"/>
    <w:rsid w:val="00A859ED"/>
    <w:rsid w:val="00A86F96"/>
    <w:rsid w:val="00A90283"/>
    <w:rsid w:val="00AA1361"/>
    <w:rsid w:val="00AA16BF"/>
    <w:rsid w:val="00AB71F0"/>
    <w:rsid w:val="00AC4188"/>
    <w:rsid w:val="00AF0AEF"/>
    <w:rsid w:val="00AF291E"/>
    <w:rsid w:val="00B05E21"/>
    <w:rsid w:val="00B114D0"/>
    <w:rsid w:val="00B11520"/>
    <w:rsid w:val="00B13DDD"/>
    <w:rsid w:val="00B22A8D"/>
    <w:rsid w:val="00B23D87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55465"/>
    <w:rsid w:val="00B71D05"/>
    <w:rsid w:val="00B75B27"/>
    <w:rsid w:val="00B772A4"/>
    <w:rsid w:val="00B87BAD"/>
    <w:rsid w:val="00B92E28"/>
    <w:rsid w:val="00BA19CD"/>
    <w:rsid w:val="00BB3786"/>
    <w:rsid w:val="00BB6633"/>
    <w:rsid w:val="00BB7249"/>
    <w:rsid w:val="00BC3D4B"/>
    <w:rsid w:val="00BC6322"/>
    <w:rsid w:val="00BC7AD8"/>
    <w:rsid w:val="00BC7DEA"/>
    <w:rsid w:val="00BE582B"/>
    <w:rsid w:val="00BE7AC2"/>
    <w:rsid w:val="00BF0E9A"/>
    <w:rsid w:val="00BF2F98"/>
    <w:rsid w:val="00C07236"/>
    <w:rsid w:val="00C305B9"/>
    <w:rsid w:val="00C3351E"/>
    <w:rsid w:val="00C36EAF"/>
    <w:rsid w:val="00C401C8"/>
    <w:rsid w:val="00C430E9"/>
    <w:rsid w:val="00C5185D"/>
    <w:rsid w:val="00C567E8"/>
    <w:rsid w:val="00C761E4"/>
    <w:rsid w:val="00C77589"/>
    <w:rsid w:val="00C77CE3"/>
    <w:rsid w:val="00C82454"/>
    <w:rsid w:val="00C8338F"/>
    <w:rsid w:val="00C84507"/>
    <w:rsid w:val="00C859C3"/>
    <w:rsid w:val="00C86B4E"/>
    <w:rsid w:val="00C930CD"/>
    <w:rsid w:val="00CA2347"/>
    <w:rsid w:val="00CA48E8"/>
    <w:rsid w:val="00CB0B68"/>
    <w:rsid w:val="00CB4EED"/>
    <w:rsid w:val="00CC2080"/>
    <w:rsid w:val="00CC4551"/>
    <w:rsid w:val="00CC692A"/>
    <w:rsid w:val="00CD45A0"/>
    <w:rsid w:val="00CE018D"/>
    <w:rsid w:val="00CE7F06"/>
    <w:rsid w:val="00CF1CE5"/>
    <w:rsid w:val="00D05A62"/>
    <w:rsid w:val="00D159E7"/>
    <w:rsid w:val="00D30622"/>
    <w:rsid w:val="00D35DDA"/>
    <w:rsid w:val="00D453EF"/>
    <w:rsid w:val="00D60414"/>
    <w:rsid w:val="00D67CFF"/>
    <w:rsid w:val="00D7596A"/>
    <w:rsid w:val="00D807C3"/>
    <w:rsid w:val="00D8490A"/>
    <w:rsid w:val="00D86FF6"/>
    <w:rsid w:val="00D913C7"/>
    <w:rsid w:val="00DD308C"/>
    <w:rsid w:val="00DD63E4"/>
    <w:rsid w:val="00DD6DC8"/>
    <w:rsid w:val="00DD75F7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7180"/>
    <w:rsid w:val="00E201A8"/>
    <w:rsid w:val="00E20725"/>
    <w:rsid w:val="00E21E05"/>
    <w:rsid w:val="00E22A6F"/>
    <w:rsid w:val="00E2689B"/>
    <w:rsid w:val="00E31798"/>
    <w:rsid w:val="00E340F4"/>
    <w:rsid w:val="00E35D6A"/>
    <w:rsid w:val="00E4132C"/>
    <w:rsid w:val="00E425EA"/>
    <w:rsid w:val="00E46E7C"/>
    <w:rsid w:val="00E50F84"/>
    <w:rsid w:val="00E53298"/>
    <w:rsid w:val="00E72EB3"/>
    <w:rsid w:val="00E835D5"/>
    <w:rsid w:val="00E84D74"/>
    <w:rsid w:val="00EA354F"/>
    <w:rsid w:val="00EB6A8C"/>
    <w:rsid w:val="00EC32D8"/>
    <w:rsid w:val="00EC6E8F"/>
    <w:rsid w:val="00EC71B9"/>
    <w:rsid w:val="00ED31C9"/>
    <w:rsid w:val="00EE39BB"/>
    <w:rsid w:val="00EF4F92"/>
    <w:rsid w:val="00EF6A7C"/>
    <w:rsid w:val="00EF763D"/>
    <w:rsid w:val="00F03DE2"/>
    <w:rsid w:val="00F12BD3"/>
    <w:rsid w:val="00F13C04"/>
    <w:rsid w:val="00F17EF0"/>
    <w:rsid w:val="00F21D47"/>
    <w:rsid w:val="00F21DCF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C0E23"/>
    <w:rsid w:val="00FC69A4"/>
    <w:rsid w:val="00FD358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07236"/>
    <w:rPr>
      <w:sz w:val="18"/>
      <w:szCs w:val="18"/>
    </w:rPr>
  </w:style>
  <w:style w:type="character" w:customStyle="1" w:styleId="Char">
    <w:name w:val="批注框文本 Char"/>
    <w:basedOn w:val="a0"/>
    <w:link w:val="a9"/>
    <w:rsid w:val="00C07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74"/>
          <c:y val="5.0541516245487361E-2"/>
          <c:w val="0.77603143418467924"/>
          <c:h val="0.70758122743682361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波形!$M$63:$W$63</c:f>
              <c:numCache>
                <c:formatCode>General</c:formatCode>
                <c:ptCount val="11"/>
                <c:pt idx="0">
                  <c:v>635</c:v>
                </c:pt>
                <c:pt idx="1">
                  <c:v>640</c:v>
                </c:pt>
                <c:pt idx="2">
                  <c:v>645</c:v>
                </c:pt>
                <c:pt idx="3">
                  <c:v>651</c:v>
                </c:pt>
                <c:pt idx="4">
                  <c:v>654</c:v>
                </c:pt>
                <c:pt idx="5">
                  <c:v>660</c:v>
                </c:pt>
                <c:pt idx="6">
                  <c:v>666</c:v>
                </c:pt>
                <c:pt idx="7">
                  <c:v>669</c:v>
                </c:pt>
                <c:pt idx="8">
                  <c:v>675</c:v>
                </c:pt>
                <c:pt idx="9">
                  <c:v>680</c:v>
                </c:pt>
                <c:pt idx="10">
                  <c:v>685</c:v>
                </c:pt>
              </c:numCache>
            </c:numRef>
          </c:xVal>
          <c:yVal>
            <c:numRef>
              <c:f>波形!$M$62:$W$62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49471232"/>
        <c:axId val="165553664"/>
      </c:scatterChart>
      <c:valAx>
        <c:axId val="149471232"/>
        <c:scaling>
          <c:orientation val="minMax"/>
          <c:max val="740"/>
          <c:min val="60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2007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65553664"/>
        <c:crosses val="autoZero"/>
        <c:crossBetween val="midCat"/>
        <c:majorUnit val="20"/>
        <c:minorUnit val="20"/>
      </c:valAx>
      <c:valAx>
        <c:axId val="16555366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49471232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947"/>
          <c:y val="7.5871038508246183E-2"/>
          <c:w val="0.7942401952842314"/>
          <c:h val="0.74875700238963161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'IF-VF'!$L$41:$S$41</c:f>
              <c:numCache>
                <c:formatCode>General</c:formatCode>
                <c:ptCount val="8"/>
                <c:pt idx="0">
                  <c:v>1.7000000000000006</c:v>
                </c:pt>
                <c:pt idx="1">
                  <c:v>1.8700000000000021</c:v>
                </c:pt>
                <c:pt idx="2">
                  <c:v>2.0000000000000004</c:v>
                </c:pt>
                <c:pt idx="3">
                  <c:v>2.1</c:v>
                </c:pt>
                <c:pt idx="4">
                  <c:v>2.2000000000000006</c:v>
                </c:pt>
                <c:pt idx="5">
                  <c:v>2.2999999999999998</c:v>
                </c:pt>
                <c:pt idx="6">
                  <c:v>2.4000000000000004</c:v>
                </c:pt>
                <c:pt idx="7">
                  <c:v>2.5</c:v>
                </c:pt>
              </c:numCache>
            </c:numRef>
          </c:xVal>
          <c:yVal>
            <c:numRef>
              <c:f>'IF-VF'!$L$42:$S$42</c:f>
              <c:numCache>
                <c:formatCode>General</c:formatCode>
                <c:ptCount val="8"/>
                <c:pt idx="0">
                  <c:v>4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72</c:v>
                </c:pt>
              </c:numCache>
            </c:numRef>
          </c:yVal>
          <c:smooth val="1"/>
        </c:ser>
        <c:axId val="165597184"/>
        <c:axId val="213538304"/>
      </c:scatterChart>
      <c:valAx>
        <c:axId val="165597184"/>
        <c:scaling>
          <c:orientation val="minMax"/>
          <c:max val="2.65"/>
          <c:min val="1.55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538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13538304"/>
        <c:crosses val="autoZero"/>
        <c:crossBetween val="midCat"/>
        <c:majorUnit val="0.1"/>
        <c:minorUnit val="0.1"/>
      </c:valAx>
      <c:valAx>
        <c:axId val="213538304"/>
        <c:scaling>
          <c:orientation val="minMax"/>
          <c:max val="80"/>
          <c:min val="0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78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65597184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7</cp:revision>
  <cp:lastPrinted>2015-06-06T02:43:00Z</cp:lastPrinted>
  <dcterms:created xsi:type="dcterms:W3CDTF">2018-10-30T03:26:00Z</dcterms:created>
  <dcterms:modified xsi:type="dcterms:W3CDTF">2018-11-20T03:12:00Z</dcterms:modified>
</cp:coreProperties>
</file>